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530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ЖИЛИЩНАЯ СТРОИТЕЛЬНАЯ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Айвазяна Эдуарда </w:t>
      </w:r>
      <w:r>
        <w:rPr>
          <w:rFonts w:ascii="Times New Roman" w:eastAsia="Times New Roman" w:hAnsi="Times New Roman" w:cs="Times New Roman"/>
          <w:sz w:val="25"/>
          <w:szCs w:val="25"/>
        </w:rPr>
        <w:t>Либаритовича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Айвазян Эдуард </w:t>
      </w:r>
      <w:r>
        <w:rPr>
          <w:b w:val="0"/>
          <w:bCs w:val="0"/>
          <w:i w:val="0"/>
          <w:sz w:val="25"/>
          <w:szCs w:val="25"/>
        </w:rPr>
        <w:t>Либаритович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генеральным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«ЮГОРСКАЯ ЖИЛИЩНАЯ СТРОИТЕЛЬНАЯ КОМПАНИЯ»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Пионерская</w:t>
      </w:r>
      <w:r>
        <w:rPr>
          <w:b w:val="0"/>
          <w:bCs w:val="0"/>
          <w:i w:val="0"/>
          <w:sz w:val="25"/>
          <w:szCs w:val="25"/>
        </w:rPr>
        <w:t xml:space="preserve"> д.118 кв.51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Айвазян Э.Л.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</w:t>
      </w:r>
      <w:r>
        <w:rPr>
          <w:b w:val="0"/>
          <w:bCs w:val="0"/>
          <w:i w:val="0"/>
          <w:sz w:val="25"/>
          <w:szCs w:val="25"/>
        </w:rPr>
        <w:t>мени судебного заседания извещался</w:t>
      </w:r>
      <w:r>
        <w:rPr>
          <w:b w:val="0"/>
          <w:bCs w:val="0"/>
          <w:i w:val="0"/>
          <w:sz w:val="25"/>
          <w:szCs w:val="25"/>
        </w:rPr>
        <w:t xml:space="preserve">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направления судебной повестки, которая возвращена в суд с отметкой об истечении срока хранения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Айвазяна Э.Л.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ЖИЛИЩНАЯ СТРОИТЕЛЬНАЯ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Айвазян Э.Л.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ЖИЛИЩНАЯ СТРОИТЕЛЬНАЯ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Пионерская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д.118 кв.51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86002613200036900001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>; копией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ЖИЛИЩНАЯ СТРОИТЕЛЬНАЯ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Айвазян Э.Л.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ЖИЛИЩНАЯ СТРОИТЕЛЬНАЯ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Айвазяна Э.Л.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Айвазяном Э.Л.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Айвазян Э.Л.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ЖИЛИЩНАЯ СТРОИТЕЛЬНАЯ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Айвазяна Эдуарда </w:t>
      </w:r>
      <w:r>
        <w:rPr>
          <w:rFonts w:ascii="Times New Roman" w:eastAsia="Times New Roman" w:hAnsi="Times New Roman" w:cs="Times New Roman"/>
          <w:sz w:val="25"/>
          <w:szCs w:val="25"/>
        </w:rPr>
        <w:t>Либаритовича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